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CD32" w14:textId="6CFAADB6" w:rsidR="00A466D8" w:rsidRDefault="49C75ABB" w:rsidP="6BF4D235">
      <w:pPr>
        <w:jc w:val="right"/>
        <w:rPr>
          <w:rFonts w:ascii="Calibri" w:eastAsia="Calibri" w:hAnsi="Calibri" w:cs="Calibri"/>
          <w:color w:val="2F5496" w:themeColor="accent1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74C8D" wp14:editId="166A3C4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114425"/>
            <wp:effectExtent l="0" t="0" r="0" b="0"/>
            <wp:wrapNone/>
            <wp:docPr id="15094953" name="Picture 15094953" descr="Guiding Eyes for the Blind Logo&#10;On left, outlined side profiles of person and dog. They appear nose to nose and looking at each other. The dog is drawn with a guide dog harness on. On the right reads the text &quot;Guiding Eyes for the Blind&quot; on three lines. Image and text are blu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193D82" w:rsidRPr="6BF4D235">
        <w:rPr>
          <w:rFonts w:ascii="Calibri" w:eastAsia="Calibri" w:hAnsi="Calibri" w:cs="Calibri"/>
          <w:color w:val="2F5496" w:themeColor="accent1" w:themeShade="BF"/>
          <w:sz w:val="20"/>
          <w:szCs w:val="20"/>
        </w:rPr>
        <w:t>Headquarters and Training Center</w:t>
      </w:r>
    </w:p>
    <w:p w14:paraId="7ADB563E" w14:textId="7FF06561" w:rsidR="00A466D8" w:rsidRDefault="50193D82" w:rsidP="6BF4D235">
      <w:pPr>
        <w:pStyle w:val="NoSpacing"/>
        <w:jc w:val="right"/>
        <w:rPr>
          <w:rFonts w:ascii="Calibri" w:eastAsia="Calibri" w:hAnsi="Calibri" w:cs="Calibri"/>
          <w:color w:val="2F5496" w:themeColor="accent1" w:themeShade="BF"/>
        </w:rPr>
      </w:pPr>
      <w:r w:rsidRPr="2758503A">
        <w:rPr>
          <w:rFonts w:ascii="Calibri" w:eastAsia="Calibri" w:hAnsi="Calibri" w:cs="Calibri"/>
          <w:color w:val="2F5496" w:themeColor="accent1" w:themeShade="BF"/>
        </w:rPr>
        <w:t>611 Granite Springs Rd.</w:t>
      </w:r>
    </w:p>
    <w:p w14:paraId="32CCC7FE" w14:textId="2DB3B714" w:rsidR="00A466D8" w:rsidRDefault="50193D82" w:rsidP="6BF4D235">
      <w:pPr>
        <w:pStyle w:val="NoSpacing"/>
        <w:jc w:val="right"/>
        <w:rPr>
          <w:rFonts w:ascii="Calibri" w:eastAsia="Calibri" w:hAnsi="Calibri" w:cs="Calibri"/>
          <w:color w:val="2F5496" w:themeColor="accent1" w:themeShade="BF"/>
        </w:rPr>
      </w:pPr>
      <w:r w:rsidRPr="2758503A">
        <w:rPr>
          <w:rFonts w:ascii="Calibri" w:eastAsia="Calibri" w:hAnsi="Calibri" w:cs="Calibri"/>
          <w:color w:val="2F5496" w:themeColor="accent1" w:themeShade="BF"/>
        </w:rPr>
        <w:t>Yorktown Heights, NY  10598</w:t>
      </w:r>
    </w:p>
    <w:p w14:paraId="6056380E" w14:textId="5C11C582" w:rsidR="00A466D8" w:rsidRDefault="50193D82" w:rsidP="6BF4D235">
      <w:pPr>
        <w:pStyle w:val="NoSpacing"/>
        <w:jc w:val="right"/>
        <w:rPr>
          <w:rFonts w:ascii="Calibri" w:eastAsia="Calibri" w:hAnsi="Calibri" w:cs="Calibri"/>
          <w:color w:val="2F5496" w:themeColor="accent1" w:themeShade="BF"/>
        </w:rPr>
      </w:pPr>
      <w:r w:rsidRPr="2758503A">
        <w:rPr>
          <w:rFonts w:ascii="Calibri" w:eastAsia="Calibri" w:hAnsi="Calibri" w:cs="Calibri"/>
          <w:color w:val="2F5496" w:themeColor="accent1" w:themeShade="BF"/>
        </w:rPr>
        <w:t xml:space="preserve">914-245-4024 or Toll-Free 800-942-0149 </w:t>
      </w:r>
    </w:p>
    <w:p w14:paraId="48CE6B71" w14:textId="0568C344" w:rsidR="00A466D8" w:rsidRDefault="50193D82" w:rsidP="6BF4D235">
      <w:pPr>
        <w:jc w:val="right"/>
        <w:rPr>
          <w:rFonts w:ascii="Calibri" w:eastAsia="Calibri" w:hAnsi="Calibri" w:cs="Calibri"/>
          <w:color w:val="2F5496" w:themeColor="accent1" w:themeShade="BF"/>
          <w:sz w:val="20"/>
          <w:szCs w:val="20"/>
        </w:rPr>
      </w:pPr>
      <w:r w:rsidRPr="2758503A">
        <w:rPr>
          <w:rFonts w:ascii="Calibri" w:eastAsia="Calibri" w:hAnsi="Calibri" w:cs="Calibri"/>
          <w:color w:val="2F5496" w:themeColor="accent1" w:themeShade="BF"/>
          <w:sz w:val="20"/>
          <w:szCs w:val="20"/>
        </w:rPr>
        <w:t>Client Experience Team</w:t>
      </w:r>
    </w:p>
    <w:p w14:paraId="65FA5FDB" w14:textId="7E2EEAA2" w:rsidR="00A466D8" w:rsidRDefault="00516766" w:rsidP="6BF4D235">
      <w:pPr>
        <w:jc w:val="right"/>
        <w:rPr>
          <w:rFonts w:ascii="Calibri" w:eastAsia="Calibri" w:hAnsi="Calibri" w:cs="Calibri"/>
          <w:color w:val="2F5496" w:themeColor="accent1" w:themeShade="BF"/>
          <w:sz w:val="20"/>
          <w:szCs w:val="20"/>
        </w:rPr>
      </w:pPr>
      <w:hyperlink r:id="rId11">
        <w:r w:rsidR="50193D82" w:rsidRPr="2758503A">
          <w:rPr>
            <w:rStyle w:val="Hyperlink"/>
            <w:rFonts w:ascii="Calibri" w:eastAsia="Calibri" w:hAnsi="Calibri" w:cs="Calibri"/>
            <w:color w:val="2F5496" w:themeColor="accent1" w:themeShade="BF"/>
            <w:sz w:val="20"/>
            <w:szCs w:val="20"/>
            <w:u w:val="none"/>
          </w:rPr>
          <w:t>clientexperience@guidingeyes.org</w:t>
        </w:r>
      </w:hyperlink>
    </w:p>
    <w:p w14:paraId="5C481E36" w14:textId="10252FE8" w:rsidR="00A466D8" w:rsidRDefault="50193D82" w:rsidP="6BF4D235">
      <w:pPr>
        <w:pStyle w:val="NoSpacing"/>
        <w:jc w:val="right"/>
        <w:rPr>
          <w:rFonts w:ascii="Calibri" w:eastAsia="Calibri" w:hAnsi="Calibri" w:cs="Calibri"/>
          <w:color w:val="2F5496" w:themeColor="accent1" w:themeShade="BF"/>
        </w:rPr>
      </w:pPr>
      <w:r w:rsidRPr="2758503A">
        <w:rPr>
          <w:rFonts w:ascii="Calibri" w:eastAsia="Calibri" w:hAnsi="Calibri" w:cs="Calibri"/>
          <w:color w:val="2F5496" w:themeColor="accent1" w:themeShade="BF"/>
        </w:rPr>
        <w:t>Applicant and Graduate Support: 888-987-2188</w:t>
      </w:r>
    </w:p>
    <w:p w14:paraId="5DAB6C7B" w14:textId="25903483" w:rsidR="00A466D8" w:rsidRDefault="00A466D8" w:rsidP="6BF4D235">
      <w:pPr>
        <w:rPr>
          <w:rFonts w:ascii="Calibri" w:eastAsia="Calibri" w:hAnsi="Calibri" w:cs="Calibri"/>
          <w:sz w:val="28"/>
          <w:szCs w:val="28"/>
        </w:rPr>
      </w:pPr>
    </w:p>
    <w:p w14:paraId="666F3B26" w14:textId="422A1DFF" w:rsidR="6BF4D235" w:rsidRDefault="6BF4D235" w:rsidP="6BF4D235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5EB10217" w14:textId="3A9AB904" w:rsidR="234A584D" w:rsidRDefault="234A584D" w:rsidP="2758503A">
      <w:pPr>
        <w:spacing w:line="276" w:lineRule="auto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2758503A">
        <w:rPr>
          <w:rFonts w:asciiTheme="minorHAnsi" w:eastAsiaTheme="minorEastAsia" w:hAnsiTheme="minorHAnsi" w:cstheme="minorBidi"/>
          <w:sz w:val="32"/>
          <w:szCs w:val="32"/>
        </w:rPr>
        <w:t xml:space="preserve">Website Info </w:t>
      </w:r>
      <w:r w:rsidR="0C9E9679" w:rsidRPr="2758503A">
        <w:rPr>
          <w:rFonts w:asciiTheme="minorHAnsi" w:eastAsiaTheme="minorEastAsia" w:hAnsiTheme="minorHAnsi" w:cstheme="minorBidi"/>
          <w:sz w:val="32"/>
          <w:szCs w:val="32"/>
        </w:rPr>
        <w:t xml:space="preserve">and Links </w:t>
      </w:r>
      <w:r w:rsidRPr="2758503A">
        <w:rPr>
          <w:rFonts w:asciiTheme="minorHAnsi" w:eastAsiaTheme="minorEastAsia" w:hAnsiTheme="minorHAnsi" w:cstheme="minorBidi"/>
          <w:sz w:val="32"/>
          <w:szCs w:val="32"/>
        </w:rPr>
        <w:t>for Graduates</w:t>
      </w:r>
    </w:p>
    <w:p w14:paraId="448C5927" w14:textId="60761209" w:rsidR="2758503A" w:rsidRDefault="2758503A" w:rsidP="2758503A">
      <w:pPr>
        <w:spacing w:line="276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26C7184F" w14:textId="2DE5DF4D" w:rsidR="40663558" w:rsidRDefault="40663558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Our website, </w:t>
      </w:r>
      <w:hyperlink r:id="rId12">
        <w:r w:rsidR="2A42520B" w:rsidRPr="2758503A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GuidingEyes.org</w:t>
        </w:r>
      </w:hyperlink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 can be</w:t>
      </w:r>
      <w:r w:rsidR="5272FD75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a</w:t>
      </w:r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="207B7C4E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great </w:t>
      </w:r>
      <w:r w:rsidR="5F351D9F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resource </w:t>
      </w:r>
      <w:r w:rsidR="207B7C4E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 share with members of the public, friends and family who may be interested in learning more about our programs, volunteering, donating and more. </w:t>
      </w:r>
      <w:r w:rsidR="6B963EAB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For our graduates, we </w:t>
      </w:r>
      <w:r w:rsidR="49115A62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also </w:t>
      </w:r>
      <w:r w:rsidR="6B963EAB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have a variety of resources available </w:t>
      </w:r>
      <w:r w:rsidR="499047BE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on</w:t>
      </w:r>
      <w:r w:rsidR="0F7C168B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="0E6404A4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the Graduate Center page of the </w:t>
      </w:r>
      <w:r w:rsidR="0F7C168B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website </w:t>
      </w:r>
      <w:r w:rsidR="2876AB92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including print and audio versions of much of the materials received during </w:t>
      </w:r>
      <w:r w:rsidR="5B8B1854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and after </w:t>
      </w:r>
      <w:r w:rsidR="2876AB92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training with your guide dog. </w:t>
      </w:r>
    </w:p>
    <w:p w14:paraId="4BF75FA0" w14:textId="7B3AF748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24C0F07D" w14:textId="0F723608" w:rsidR="7B0C5CC9" w:rsidRDefault="7B0C5CC9" w:rsidP="2758503A">
      <w:pPr>
        <w:pStyle w:val="Heading1"/>
        <w:spacing w:line="276" w:lineRule="auto"/>
        <w:rPr>
          <w:b/>
          <w:bCs/>
          <w:color w:val="auto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Instructions for </w:t>
      </w:r>
      <w:r w:rsidR="75AE2AA9" w:rsidRPr="2758503A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Navigating to</w:t>
      </w:r>
      <w:r w:rsidRPr="2758503A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the Graduate Center from the Main Website:</w:t>
      </w:r>
    </w:p>
    <w:p w14:paraId="4C63C892" w14:textId="3BCDB4D5" w:rsidR="4B020E1B" w:rsidRDefault="4B020E1B" w:rsidP="2758503A">
      <w:pPr>
        <w:pStyle w:val="NormalWeb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606D78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L</w:t>
      </w:r>
      <w:r w:rsidR="7B0C5CC9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ocate the heading labeled “Homepage – Guiding Eyes for the Blind.”</w:t>
      </w:r>
    </w:p>
    <w:p w14:paraId="6471F57D" w14:textId="3496A644" w:rsidR="7B0C5CC9" w:rsidRDefault="7B0C5CC9" w:rsidP="2758503A">
      <w:pPr>
        <w:pStyle w:val="NormalWeb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606D78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Underneath that heading, you’ll find a series of menus. Click on the “Admissions” menu to expand it</w:t>
      </w:r>
      <w:r w:rsidR="06D855AC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.</w:t>
      </w:r>
    </w:p>
    <w:p w14:paraId="726CAC82" w14:textId="347C8BD7" w:rsidR="06D855AC" w:rsidRDefault="06D855AC" w:rsidP="2758503A">
      <w:pPr>
        <w:pStyle w:val="NormalWeb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T</w:t>
      </w:r>
      <w:r w:rsidR="7B0C5CC9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hen select “Graduate Cente</w:t>
      </w:r>
      <w:r w:rsidR="13A58274"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r” last on the list. </w:t>
      </w:r>
    </w:p>
    <w:p w14:paraId="54245561" w14:textId="22A5F4B5" w:rsidR="7B0C5CC9" w:rsidRDefault="7B0C5CC9" w:rsidP="2758503A">
      <w:pPr>
        <w:pStyle w:val="NormalWeb"/>
        <w:spacing w:line="276" w:lineRule="auto"/>
        <w:rPr>
          <w:rFonts w:asciiTheme="minorHAnsi" w:eastAsiaTheme="minorEastAsia" w:hAnsiTheme="minorHAnsi" w:cstheme="minorBidi"/>
          <w:color w:val="606D78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 </w:t>
      </w:r>
    </w:p>
    <w:p w14:paraId="1C30EECE" w14:textId="52BC5CA2" w:rsidR="2758503A" w:rsidRDefault="2758503A" w:rsidP="2758503A">
      <w:pPr>
        <w:pStyle w:val="NormalWeb"/>
        <w:spacing w:line="276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090279E8" w14:textId="65BB0862" w:rsidR="2876AB92" w:rsidRDefault="2876AB92" w:rsidP="2758503A">
      <w:pPr>
        <w:spacing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Below is a list of </w:t>
      </w:r>
      <w:r w:rsidR="3F9AD69B" w:rsidRPr="2758503A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direct links for easier reference:</w:t>
      </w:r>
    </w:p>
    <w:p w14:paraId="39E2E30B" w14:textId="30387A6B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</w:p>
    <w:p w14:paraId="47B62CE1" w14:textId="76579203" w:rsidR="1F18ADE0" w:rsidRDefault="1F18ADE0" w:rsidP="2758503A">
      <w:pPr>
        <w:spacing w:line="276" w:lineRule="auto"/>
        <w:rPr>
          <w:rFonts w:asciiTheme="minorHAnsi" w:eastAsiaTheme="minorEastAsia" w:hAnsiTheme="minorHAnsi" w:cstheme="minorBidi"/>
          <w:color w:val="222222"/>
          <w:sz w:val="27"/>
          <w:szCs w:val="27"/>
        </w:rPr>
      </w:pPr>
      <w:r w:rsidRPr="2758503A">
        <w:rPr>
          <w:rFonts w:asciiTheme="minorHAnsi" w:eastAsiaTheme="minorEastAsia" w:hAnsiTheme="minorHAnsi" w:cstheme="minorBidi"/>
          <w:sz w:val="28"/>
          <w:szCs w:val="28"/>
        </w:rPr>
        <w:t xml:space="preserve">For direct </w:t>
      </w:r>
      <w:r w:rsidR="715D066B" w:rsidRPr="2758503A">
        <w:rPr>
          <w:rFonts w:asciiTheme="minorHAnsi" w:eastAsiaTheme="minorEastAsia" w:hAnsiTheme="minorHAnsi" w:cstheme="minorBidi"/>
          <w:sz w:val="28"/>
          <w:szCs w:val="28"/>
        </w:rPr>
        <w:t xml:space="preserve">access </w:t>
      </w:r>
      <w:r w:rsidR="267FA748" w:rsidRPr="2758503A">
        <w:rPr>
          <w:rFonts w:asciiTheme="minorHAnsi" w:eastAsiaTheme="minorEastAsia" w:hAnsiTheme="minorHAnsi" w:cstheme="minorBidi"/>
          <w:sz w:val="28"/>
          <w:szCs w:val="28"/>
        </w:rPr>
        <w:t xml:space="preserve">to </w:t>
      </w:r>
      <w:r w:rsidR="715D066B" w:rsidRPr="2758503A">
        <w:rPr>
          <w:rFonts w:asciiTheme="minorHAnsi" w:eastAsiaTheme="minorEastAsia" w:hAnsiTheme="minorHAnsi" w:cstheme="minorBidi"/>
          <w:sz w:val="28"/>
          <w:szCs w:val="28"/>
        </w:rPr>
        <w:t>the online Graduate Center</w:t>
      </w:r>
      <w:r w:rsidR="0881A062" w:rsidRPr="2758503A">
        <w:rPr>
          <w:rFonts w:asciiTheme="minorHAnsi" w:eastAsiaTheme="minorEastAsia" w:hAnsiTheme="minorHAnsi" w:cstheme="minorBidi"/>
          <w:sz w:val="28"/>
          <w:szCs w:val="28"/>
        </w:rPr>
        <w:t>:</w:t>
      </w:r>
    </w:p>
    <w:p w14:paraId="4F3EB5D6" w14:textId="4D1471D1" w:rsidR="715D066B" w:rsidRDefault="00516766" w:rsidP="2758503A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hyperlink r:id="rId13">
        <w:r w:rsidR="7CFBF333" w:rsidRPr="422D6AFF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https://www.guidingeyes.org/graduate-center/</w:t>
        </w:r>
        <w:r w:rsidR="715D066B">
          <w:br/>
        </w:r>
      </w:hyperlink>
      <w:r w:rsidR="416E6969" w:rsidRPr="422D6AFF">
        <w:rPr>
          <w:rFonts w:asciiTheme="minorHAnsi" w:eastAsiaTheme="minorEastAsia" w:hAnsiTheme="minorHAnsi" w:cstheme="minorBidi"/>
          <w:sz w:val="28"/>
          <w:szCs w:val="28"/>
        </w:rPr>
        <w:t>*</w:t>
      </w:r>
      <w:r w:rsidR="5BD78E99" w:rsidRPr="422D6AFF">
        <w:rPr>
          <w:rFonts w:asciiTheme="minorHAnsi" w:eastAsiaTheme="minorEastAsia" w:hAnsiTheme="minorHAnsi" w:cstheme="minorBidi"/>
          <w:sz w:val="28"/>
          <w:szCs w:val="28"/>
        </w:rPr>
        <w:t xml:space="preserve">The </w:t>
      </w:r>
      <w:r w:rsidR="416E6969" w:rsidRPr="422D6AFF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Graduate Center no longer requires a registration and log in</w:t>
      </w:r>
      <w:r w:rsidR="71BB40B4" w:rsidRPr="422D6AFF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*</w:t>
      </w:r>
    </w:p>
    <w:p w14:paraId="62D96535" w14:textId="2390DC4E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311BC9E7" w14:textId="762448C2" w:rsidR="6E3AA95E" w:rsidRDefault="6E3AA95E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sz w:val="28"/>
          <w:szCs w:val="28"/>
        </w:rPr>
        <w:t>For</w:t>
      </w:r>
      <w:r w:rsidR="2718709A" w:rsidRPr="2758503A">
        <w:rPr>
          <w:rFonts w:asciiTheme="minorHAnsi" w:eastAsiaTheme="minorEastAsia" w:hAnsiTheme="minorHAnsi" w:cstheme="minorBidi"/>
          <w:sz w:val="28"/>
          <w:szCs w:val="28"/>
        </w:rPr>
        <w:t xml:space="preserve"> audio and print version of materials in the Graduate Take Home Pack:</w:t>
      </w:r>
    </w:p>
    <w:p w14:paraId="09479C5F" w14:textId="0B81C3A8" w:rsidR="2718709A" w:rsidRDefault="00516766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hyperlink r:id="rId14">
        <w:r w:rsidR="05AB9E49" w:rsidRPr="422D6AFF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https://www.guidingeyes.org/take-home-p</w:t>
        </w:r>
        <w:r w:rsidR="2718709A" w:rsidRPr="422D6AFF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ack</w:t>
        </w:r>
      </w:hyperlink>
    </w:p>
    <w:p w14:paraId="4741C36E" w14:textId="5EDB9C35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7964006C" w14:textId="49A0FFDC" w:rsidR="61FDB11F" w:rsidRDefault="61FDB11F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sz w:val="28"/>
          <w:szCs w:val="28"/>
        </w:rPr>
        <w:t>For</w:t>
      </w:r>
      <w:r w:rsidR="2718709A" w:rsidRPr="2758503A">
        <w:rPr>
          <w:rFonts w:asciiTheme="minorHAnsi" w:eastAsiaTheme="minorEastAsia" w:hAnsiTheme="minorHAnsi" w:cstheme="minorBidi"/>
          <w:sz w:val="28"/>
          <w:szCs w:val="28"/>
        </w:rPr>
        <w:t xml:space="preserve"> audio and print versions of the class lectures: </w:t>
      </w:r>
    </w:p>
    <w:p w14:paraId="133F225C" w14:textId="365610F9" w:rsidR="2718709A" w:rsidRDefault="00516766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hyperlink r:id="rId15">
        <w:r w:rsidR="1D8C77B8" w:rsidRPr="422D6AFF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https://www.guidingeyes.org/lectures/</w:t>
        </w:r>
      </w:hyperlink>
    </w:p>
    <w:p w14:paraId="6DA6946F" w14:textId="2F5617B9" w:rsidR="2718709A" w:rsidRDefault="2718709A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br/>
      </w:r>
      <w:r w:rsidRPr="2758503A">
        <w:rPr>
          <w:rFonts w:asciiTheme="minorHAnsi" w:eastAsiaTheme="minorEastAsia" w:hAnsiTheme="minorHAnsi" w:cstheme="minorBidi"/>
          <w:sz w:val="28"/>
          <w:szCs w:val="28"/>
        </w:rPr>
        <w:t>To view our monthly graduation ceremonies online</w:t>
      </w:r>
      <w:r w:rsidR="6134EC9C" w:rsidRPr="2758503A">
        <w:rPr>
          <w:rFonts w:asciiTheme="minorHAnsi" w:eastAsiaTheme="minorEastAsia" w:hAnsiTheme="minorHAnsi" w:cstheme="minorBidi"/>
          <w:sz w:val="28"/>
          <w:szCs w:val="28"/>
        </w:rPr>
        <w:t>:</w:t>
      </w:r>
    </w:p>
    <w:p w14:paraId="6C28359B" w14:textId="54B48F0D" w:rsidR="2718709A" w:rsidRDefault="00516766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hyperlink r:id="rId16">
        <w:r w:rsidR="09E6DDC3" w:rsidRPr="422D6AFF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https://www.guidingeyes.org/graduation/</w:t>
        </w:r>
      </w:hyperlink>
    </w:p>
    <w:p w14:paraId="3E0D03B9" w14:textId="5E32A0AB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47728F6C" w14:textId="45D3564C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126AA880" w14:textId="7579F75A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72E4FBA2" w14:textId="5B31B148" w:rsidR="0FF521AD" w:rsidRDefault="0FF521AD" w:rsidP="2758503A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We hope you enjoy the website and visit the Graduate Center. We will be expanding the available content and welcome your feedback and ideas. </w:t>
      </w:r>
      <w:r w:rsidRPr="2758503A">
        <w:rPr>
          <w:rFonts w:asciiTheme="minorHAnsi" w:eastAsiaTheme="minorEastAsia" w:hAnsiTheme="minorHAnsi" w:cstheme="minorBidi"/>
          <w:sz w:val="28"/>
          <w:szCs w:val="28"/>
        </w:rPr>
        <w:t xml:space="preserve">If you need assistance, please contact the Client Experience Team at 888-987-2188 or by email at </w:t>
      </w:r>
      <w:hyperlink r:id="rId17">
        <w:r w:rsidRPr="2758503A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clientexperience@guidingeyes.org</w:t>
        </w:r>
      </w:hyperlink>
      <w:r w:rsidRPr="2758503A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7D3BA5FA" w14:textId="6EAC8F6C" w:rsidR="2758503A" w:rsidRDefault="2758503A" w:rsidP="2758503A">
      <w:pPr>
        <w:pStyle w:val="NormalWeb"/>
        <w:spacing w:line="276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05769CA9" w14:textId="38A02C93" w:rsidR="2758503A" w:rsidRDefault="2758503A" w:rsidP="2758503A">
      <w:pPr>
        <w:spacing w:line="276" w:lineRule="auto"/>
        <w:rPr>
          <w:rFonts w:ascii="Calibri" w:eastAsia="Calibri" w:hAnsi="Calibri" w:cs="Calibri"/>
          <w:color w:val="000000" w:themeColor="text1"/>
          <w:sz w:val="27"/>
          <w:szCs w:val="27"/>
        </w:rPr>
      </w:pPr>
    </w:p>
    <w:p w14:paraId="4FDF418F" w14:textId="2FD7D878" w:rsidR="4676C368" w:rsidRDefault="4676C368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sz w:val="28"/>
          <w:szCs w:val="28"/>
        </w:rPr>
        <w:t>Wishing you all the best with your new guide dog,</w:t>
      </w:r>
    </w:p>
    <w:p w14:paraId="05AFF93D" w14:textId="6D74904F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7BC18508" w14:textId="5AA1CE8D" w:rsidR="4676C368" w:rsidRDefault="4676C368" w:rsidP="2758503A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2758503A">
        <w:rPr>
          <w:rFonts w:asciiTheme="minorHAnsi" w:eastAsiaTheme="minorEastAsia" w:hAnsiTheme="minorHAnsi" w:cstheme="minorBidi"/>
          <w:sz w:val="28"/>
          <w:szCs w:val="28"/>
        </w:rPr>
        <w:t>The Client Experience Team and Training Department</w:t>
      </w:r>
    </w:p>
    <w:p w14:paraId="2783A0CF" w14:textId="17B39A67" w:rsidR="2758503A" w:rsidRDefault="2758503A" w:rsidP="2758503A">
      <w:p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</w:p>
    <w:p w14:paraId="422A38EA" w14:textId="5CEDDE40" w:rsidR="2758503A" w:rsidRDefault="2758503A" w:rsidP="2758503A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14:paraId="07EF5170" w14:textId="20E8ED8D" w:rsidR="2758503A" w:rsidRDefault="2758503A" w:rsidP="2758503A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14:paraId="1299C43A" w14:textId="77777777" w:rsidR="004962FC" w:rsidRDefault="004962FC" w:rsidP="6BF4D235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38A258F1" w14:textId="3FD54A49" w:rsidR="004962FC" w:rsidRPr="00EB5292" w:rsidRDefault="610E88B3" w:rsidP="2C7F4575">
      <w:pPr>
        <w:rPr>
          <w:rFonts w:asciiTheme="minorHAnsi" w:eastAsiaTheme="minorEastAsia" w:hAnsiTheme="minorHAnsi" w:cstheme="minorBidi"/>
          <w:sz w:val="20"/>
          <w:szCs w:val="20"/>
        </w:rPr>
      </w:pPr>
      <w:r w:rsidRPr="2C7F4575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516766">
        <w:rPr>
          <w:rFonts w:asciiTheme="minorHAnsi" w:eastAsiaTheme="minorEastAsia" w:hAnsiTheme="minorHAnsi" w:cstheme="minorBidi"/>
          <w:sz w:val="20"/>
          <w:szCs w:val="20"/>
        </w:rPr>
        <w:t>6</w:t>
      </w:r>
      <w:r w:rsidRPr="2C7F4575">
        <w:rPr>
          <w:rFonts w:asciiTheme="minorHAnsi" w:eastAsiaTheme="minorEastAsia" w:hAnsiTheme="minorHAnsi" w:cstheme="minorBidi"/>
          <w:sz w:val="20"/>
          <w:szCs w:val="20"/>
        </w:rPr>
        <w:t>/2023</w:t>
      </w:r>
    </w:p>
    <w:sectPr w:rsidR="004962FC" w:rsidRPr="00EB5292" w:rsidSect="00A46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58119D" w:rsidRDefault="0058119D">
      <w:r>
        <w:separator/>
      </w:r>
    </w:p>
  </w:endnote>
  <w:endnote w:type="continuationSeparator" w:id="0">
    <w:p w14:paraId="3461D779" w14:textId="77777777" w:rsidR="0058119D" w:rsidRDefault="0058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58119D" w:rsidRDefault="0058119D">
      <w:r>
        <w:separator/>
      </w:r>
    </w:p>
  </w:footnote>
  <w:footnote w:type="continuationSeparator" w:id="0">
    <w:p w14:paraId="0FB78278" w14:textId="77777777" w:rsidR="0058119D" w:rsidRDefault="0058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534B"/>
    <w:multiLevelType w:val="hybridMultilevel"/>
    <w:tmpl w:val="442847F4"/>
    <w:lvl w:ilvl="0" w:tplc="EF2625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ACF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8F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C4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6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4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6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F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23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5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7E"/>
    <w:rsid w:val="00036CF6"/>
    <w:rsid w:val="000B5090"/>
    <w:rsid w:val="00102855"/>
    <w:rsid w:val="00114646"/>
    <w:rsid w:val="00233001"/>
    <w:rsid w:val="002961A7"/>
    <w:rsid w:val="00336423"/>
    <w:rsid w:val="00354D51"/>
    <w:rsid w:val="003B525D"/>
    <w:rsid w:val="00447CA1"/>
    <w:rsid w:val="004522D8"/>
    <w:rsid w:val="00467092"/>
    <w:rsid w:val="004962FC"/>
    <w:rsid w:val="004E4720"/>
    <w:rsid w:val="00504B1C"/>
    <w:rsid w:val="00516766"/>
    <w:rsid w:val="00520DDB"/>
    <w:rsid w:val="005401DD"/>
    <w:rsid w:val="00555AC5"/>
    <w:rsid w:val="0058119D"/>
    <w:rsid w:val="00584564"/>
    <w:rsid w:val="005939E9"/>
    <w:rsid w:val="005D5521"/>
    <w:rsid w:val="006234C6"/>
    <w:rsid w:val="007414C6"/>
    <w:rsid w:val="0079637B"/>
    <w:rsid w:val="007A552C"/>
    <w:rsid w:val="007C1F6E"/>
    <w:rsid w:val="00856E9F"/>
    <w:rsid w:val="008630D5"/>
    <w:rsid w:val="008D3138"/>
    <w:rsid w:val="0099492D"/>
    <w:rsid w:val="00A07F71"/>
    <w:rsid w:val="00A466D8"/>
    <w:rsid w:val="00B94648"/>
    <w:rsid w:val="00C84D68"/>
    <w:rsid w:val="00D07290"/>
    <w:rsid w:val="00DB53FC"/>
    <w:rsid w:val="00E004F0"/>
    <w:rsid w:val="00E0717E"/>
    <w:rsid w:val="00E91226"/>
    <w:rsid w:val="00EB5292"/>
    <w:rsid w:val="00EC537C"/>
    <w:rsid w:val="00EE2641"/>
    <w:rsid w:val="00F15983"/>
    <w:rsid w:val="00F45F99"/>
    <w:rsid w:val="00F4709E"/>
    <w:rsid w:val="00F47A23"/>
    <w:rsid w:val="014EE98C"/>
    <w:rsid w:val="04227C14"/>
    <w:rsid w:val="054CDF85"/>
    <w:rsid w:val="05AB9E49"/>
    <w:rsid w:val="06D855AC"/>
    <w:rsid w:val="07DC72D9"/>
    <w:rsid w:val="07E94CFA"/>
    <w:rsid w:val="0881A062"/>
    <w:rsid w:val="09844C2D"/>
    <w:rsid w:val="09E6DDC3"/>
    <w:rsid w:val="0A2050A8"/>
    <w:rsid w:val="0B31F6BD"/>
    <w:rsid w:val="0C9E9679"/>
    <w:rsid w:val="0D57F16A"/>
    <w:rsid w:val="0D7119C7"/>
    <w:rsid w:val="0D9758B3"/>
    <w:rsid w:val="0E6404A4"/>
    <w:rsid w:val="0EB8EE09"/>
    <w:rsid w:val="0EF3C1CB"/>
    <w:rsid w:val="0F332914"/>
    <w:rsid w:val="0F7C168B"/>
    <w:rsid w:val="0FF521AD"/>
    <w:rsid w:val="1230C05D"/>
    <w:rsid w:val="13A58274"/>
    <w:rsid w:val="13BC5206"/>
    <w:rsid w:val="14069A37"/>
    <w:rsid w:val="141FC294"/>
    <w:rsid w:val="14A9BB0A"/>
    <w:rsid w:val="166B8DE9"/>
    <w:rsid w:val="16DACA6B"/>
    <w:rsid w:val="17A1F11E"/>
    <w:rsid w:val="17E15BCC"/>
    <w:rsid w:val="18769ACC"/>
    <w:rsid w:val="18A29197"/>
    <w:rsid w:val="19A32EAB"/>
    <w:rsid w:val="1B18FC8E"/>
    <w:rsid w:val="1B21C2DE"/>
    <w:rsid w:val="1B7E8EFB"/>
    <w:rsid w:val="1BD09C0E"/>
    <w:rsid w:val="1CB4CCEF"/>
    <w:rsid w:val="1CD38BA3"/>
    <w:rsid w:val="1D8C77B8"/>
    <w:rsid w:val="1F18ADE0"/>
    <w:rsid w:val="1FCE25E8"/>
    <w:rsid w:val="207B7C4E"/>
    <w:rsid w:val="20ADA37C"/>
    <w:rsid w:val="21389496"/>
    <w:rsid w:val="21883E12"/>
    <w:rsid w:val="221D7D12"/>
    <w:rsid w:val="2291F6A1"/>
    <w:rsid w:val="23240E73"/>
    <w:rsid w:val="234A584D"/>
    <w:rsid w:val="24BFDED4"/>
    <w:rsid w:val="25EAF44C"/>
    <w:rsid w:val="267FA748"/>
    <w:rsid w:val="2718709A"/>
    <w:rsid w:val="2758503A"/>
    <w:rsid w:val="2876AB92"/>
    <w:rsid w:val="28B8B561"/>
    <w:rsid w:val="29503B4A"/>
    <w:rsid w:val="2A42520B"/>
    <w:rsid w:val="2A93ED0B"/>
    <w:rsid w:val="2A9A3A80"/>
    <w:rsid w:val="2AEC5F10"/>
    <w:rsid w:val="2B2F2058"/>
    <w:rsid w:val="2C7F4575"/>
    <w:rsid w:val="2DB43670"/>
    <w:rsid w:val="2DCB8DCD"/>
    <w:rsid w:val="2E77FBF1"/>
    <w:rsid w:val="2F03EDA0"/>
    <w:rsid w:val="30D80CA5"/>
    <w:rsid w:val="31032E8F"/>
    <w:rsid w:val="314224D2"/>
    <w:rsid w:val="3182A9C9"/>
    <w:rsid w:val="3202B18C"/>
    <w:rsid w:val="323B8E62"/>
    <w:rsid w:val="328EF20E"/>
    <w:rsid w:val="34BA4A8B"/>
    <w:rsid w:val="3671D2FF"/>
    <w:rsid w:val="374C6D95"/>
    <w:rsid w:val="383034EE"/>
    <w:rsid w:val="38E83DF6"/>
    <w:rsid w:val="39E8DB0A"/>
    <w:rsid w:val="3AA2A7F0"/>
    <w:rsid w:val="3AB2E0DB"/>
    <w:rsid w:val="3CC55C70"/>
    <w:rsid w:val="3E421122"/>
    <w:rsid w:val="3F577F7A"/>
    <w:rsid w:val="3F9AD69B"/>
    <w:rsid w:val="40663558"/>
    <w:rsid w:val="4086F7A2"/>
    <w:rsid w:val="40B96DA0"/>
    <w:rsid w:val="416E6969"/>
    <w:rsid w:val="4208D9BB"/>
    <w:rsid w:val="422D6AFF"/>
    <w:rsid w:val="4432DE23"/>
    <w:rsid w:val="456C9EBC"/>
    <w:rsid w:val="461F50A4"/>
    <w:rsid w:val="4676C368"/>
    <w:rsid w:val="47D81D38"/>
    <w:rsid w:val="49115A62"/>
    <w:rsid w:val="4923E043"/>
    <w:rsid w:val="499047BE"/>
    <w:rsid w:val="49C75ABB"/>
    <w:rsid w:val="4B020E1B"/>
    <w:rsid w:val="4C6F573E"/>
    <w:rsid w:val="4CE0DE0A"/>
    <w:rsid w:val="50193D82"/>
    <w:rsid w:val="5272FD75"/>
    <w:rsid w:val="5379AA14"/>
    <w:rsid w:val="55E24298"/>
    <w:rsid w:val="57555A58"/>
    <w:rsid w:val="58C81C14"/>
    <w:rsid w:val="5B782213"/>
    <w:rsid w:val="5B8B1854"/>
    <w:rsid w:val="5BD78E99"/>
    <w:rsid w:val="5C5413D2"/>
    <w:rsid w:val="5DB3D15C"/>
    <w:rsid w:val="5DEFE433"/>
    <w:rsid w:val="5F351D9F"/>
    <w:rsid w:val="5FC46181"/>
    <w:rsid w:val="60D019A7"/>
    <w:rsid w:val="610E88B3"/>
    <w:rsid w:val="6134EC9C"/>
    <w:rsid w:val="616B4CF4"/>
    <w:rsid w:val="61FDB11F"/>
    <w:rsid w:val="62C35556"/>
    <w:rsid w:val="63C85320"/>
    <w:rsid w:val="6402E8AD"/>
    <w:rsid w:val="6438A7BD"/>
    <w:rsid w:val="652F4311"/>
    <w:rsid w:val="65DF3E05"/>
    <w:rsid w:val="674B17EC"/>
    <w:rsid w:val="676ACFAE"/>
    <w:rsid w:val="67DF493D"/>
    <w:rsid w:val="683789DB"/>
    <w:rsid w:val="6866E3D3"/>
    <w:rsid w:val="6916DEC7"/>
    <w:rsid w:val="6B963EAB"/>
    <w:rsid w:val="6BF4D235"/>
    <w:rsid w:val="6CA99EE5"/>
    <w:rsid w:val="6E0607FD"/>
    <w:rsid w:val="6E3AA95E"/>
    <w:rsid w:val="7121F0AC"/>
    <w:rsid w:val="713DA8BF"/>
    <w:rsid w:val="715D066B"/>
    <w:rsid w:val="71BB40B4"/>
    <w:rsid w:val="72D97920"/>
    <w:rsid w:val="754D5461"/>
    <w:rsid w:val="75AE2AA9"/>
    <w:rsid w:val="77ACEA43"/>
    <w:rsid w:val="77DC44AA"/>
    <w:rsid w:val="79621F6F"/>
    <w:rsid w:val="796EF990"/>
    <w:rsid w:val="799FD152"/>
    <w:rsid w:val="7B0C5CC9"/>
    <w:rsid w:val="7BA5FD3E"/>
    <w:rsid w:val="7CFBF333"/>
    <w:rsid w:val="7E1C2BC7"/>
    <w:rsid w:val="7FA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4A88"/>
  <w15:chartTrackingRefBased/>
  <w15:docId w15:val="{55CC1854-308F-4DF4-BF81-84A95A0A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717E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DB53FC"/>
    <w:rPr>
      <w:color w:val="0563C1"/>
      <w:u w:val="single"/>
    </w:rPr>
  </w:style>
  <w:style w:type="paragraph" w:styleId="Header">
    <w:name w:val="header"/>
    <w:basedOn w:val="Normal"/>
    <w:rsid w:val="00A46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6D8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364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84D6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C84D68"/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uidingeyes.org/graduate-cent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uidingeyes.org" TargetMode="External"/><Relationship Id="rId17" Type="http://schemas.openxmlformats.org/officeDocument/2006/relationships/hyperlink" Target="mailto:clientexperience@guidingey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uidingeyes.org/gradu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entexperience@guidingeyes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uidingeyes.org/lecture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uidingeyes.org/take-home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1E185F0A8F1419ABDBE93497276DB" ma:contentTypeVersion="15" ma:contentTypeDescription="Create a new document." ma:contentTypeScope="" ma:versionID="eae79699d21f1beddf2803ca7e0fde5c">
  <xsd:schema xmlns:xsd="http://www.w3.org/2001/XMLSchema" xmlns:xs="http://www.w3.org/2001/XMLSchema" xmlns:p="http://schemas.microsoft.com/office/2006/metadata/properties" xmlns:ns2="96ecf26e-ad5a-4984-9efb-777a67a809a3" xmlns:ns3="88e01c61-a98c-475a-aa3d-6ce887e1586e" targetNamespace="http://schemas.microsoft.com/office/2006/metadata/properties" ma:root="true" ma:fieldsID="a46ebc49ca562a13301cda3499f25e22" ns2:_="" ns3:_="">
    <xsd:import namespace="96ecf26e-ad5a-4984-9efb-777a67a809a3"/>
    <xsd:import namespace="88e01c61-a98c-475a-aa3d-6ce887e1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f26e-ad5a-4984-9efb-777a67a8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0bcb80-2fbf-44ce-8dd5-dc98c62e3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1c61-a98c-475a-aa3d-6ce887e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240f7b-408b-406d-99b9-f080da5b1465}" ma:internalName="TaxCatchAll" ma:showField="CatchAllData" ma:web="88e01c61-a98c-475a-aa3d-6ce887e15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cf26e-ad5a-4984-9efb-777a67a809a3">
      <Terms xmlns="http://schemas.microsoft.com/office/infopath/2007/PartnerControls"/>
    </lcf76f155ced4ddcb4097134ff3c332f>
    <TaxCatchAll xmlns="88e01c61-a98c-475a-aa3d-6ce887e158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F9D41-9E93-437C-A143-44AEFB09D8E9}"/>
</file>

<file path=customXml/itemProps2.xml><?xml version="1.0" encoding="utf-8"?>
<ds:datastoreItem xmlns:ds="http://schemas.openxmlformats.org/officeDocument/2006/customXml" ds:itemID="{B36A9717-2472-46F4-8C60-C00F980C0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BD15-4746-49A0-AAF3-99FDEC6DF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Guiding Eyes for the Blind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Ali Fairhurst</dc:creator>
  <cp:keywords/>
  <cp:lastModifiedBy>Melissa Carney</cp:lastModifiedBy>
  <cp:revision>10</cp:revision>
  <cp:lastPrinted>2016-11-10T00:29:00Z</cp:lastPrinted>
  <dcterms:created xsi:type="dcterms:W3CDTF">2023-03-03T22:04:00Z</dcterms:created>
  <dcterms:modified xsi:type="dcterms:W3CDTF">2023-06-23T14:52:00Z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umber">
    <vt:lpwstr/>
  </property>
  <property fmtid="{D5CDD505-2E9C-101B-9397-08002B2CF9AE}" pid="3" name="ContentTypeId">
    <vt:lpwstr>0x010100C6A1E185F0A8F1419ABDBE93497276DB</vt:lpwstr>
  </property>
</Properties>
</file>